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364B" w14:textId="77777777" w:rsidR="00960036" w:rsidRPr="00960036" w:rsidRDefault="00960036" w:rsidP="00240AB6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bookmarkStart w:id="0" w:name="Par39"/>
      <w:bookmarkEnd w:id="0"/>
      <w:r w:rsidRPr="00960036">
        <w:rPr>
          <w:rFonts w:ascii="Times New Roman" w:hAnsi="Times New Roman" w:cs="Times New Roman"/>
        </w:rPr>
        <w:t>ПОЛОЖЕНИЕ</w:t>
      </w:r>
    </w:p>
    <w:p w14:paraId="0E8F9EE9" w14:textId="77777777" w:rsidR="00960036" w:rsidRPr="00960036" w:rsidRDefault="00960036" w:rsidP="00240AB6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О РЕСПУБЛИКАНСКОМ ОБЩЕСТВЕННОМ КОНКУРСЕ</w:t>
      </w:r>
    </w:p>
    <w:p w14:paraId="36D004F2" w14:textId="77777777" w:rsidR="00960036" w:rsidRPr="00960036" w:rsidRDefault="00960036" w:rsidP="00240AB6">
      <w:pPr>
        <w:pStyle w:val="ConsPlusTitle"/>
        <w:spacing w:line="312" w:lineRule="auto"/>
        <w:jc w:val="center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"РУКОВОДИТЕЛЬ ГОДА"</w:t>
      </w:r>
    </w:p>
    <w:p w14:paraId="10AB0753" w14:textId="77777777" w:rsidR="00960036" w:rsidRPr="00960036" w:rsidRDefault="00960036" w:rsidP="00240AB6">
      <w:pPr>
        <w:pStyle w:val="ConsPlusNormal"/>
        <w:spacing w:line="312" w:lineRule="auto"/>
        <w:jc w:val="both"/>
      </w:pPr>
    </w:p>
    <w:p w14:paraId="0C44B659" w14:textId="77777777" w:rsidR="00960036" w:rsidRP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1. Цель конкурса</w:t>
      </w:r>
    </w:p>
    <w:p w14:paraId="7A222105" w14:textId="488036F5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 xml:space="preserve">Республиканский общественный конкурс "Руководитель года" (далее - конкурс) проводится ежегодно в соответствии с </w:t>
      </w:r>
      <w:r w:rsidR="006A34B7">
        <w:t>Указом</w:t>
      </w:r>
      <w:r w:rsidRPr="00960036">
        <w:t xml:space="preserve"> Президента Республики Татарстан от 26.02.2002 N УП-121 "О Республиканском общественном конкурсе "Руководитель года" в целях обеспечения общественного признания, поощрения и распространения положительного опыта лучших руководителей предприятий и организаций, добившихся высоких результатов в своей работе и внесших заметный вклад в решение задач социально-экономического развития республики.</w:t>
      </w:r>
    </w:p>
    <w:p w14:paraId="2E004E39" w14:textId="77777777" w:rsidR="00960036" w:rsidRP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2. Участники конкурса</w:t>
      </w:r>
    </w:p>
    <w:p w14:paraId="25AF9FC5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Участниками (номинантами) конкурса могут быть руководители (председатели советов директоров, председатели правлений, генеральные директора, директора, управляющие и т.п.) предприятий и организаций различных отраслей и сфер экономики. Участниками конкурса не могут быть лица, становившиеся лауреатами конкурсов в предыдущие три года.</w:t>
      </w:r>
    </w:p>
    <w:p w14:paraId="74F063B7" w14:textId="77777777" w:rsid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</w:p>
    <w:p w14:paraId="7BD7B929" w14:textId="196FE6A7" w:rsidR="00960036" w:rsidRP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3. Управление организацией и проведением конкурса</w:t>
      </w:r>
    </w:p>
    <w:p w14:paraId="4D9B184C" w14:textId="5D91DA1F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 xml:space="preserve">Общее руководство организацией и проведением конкурса, утверждение перечня номинаций и соответствующих показателей деятельности, по которым будут подводиться итоги конкурса, принятие решения о лауреатах осуществляет Конкурсная комиссия, образованная </w:t>
      </w:r>
      <w:r w:rsidR="006A34B7">
        <w:t>Указом</w:t>
      </w:r>
      <w:r w:rsidRPr="00960036">
        <w:t xml:space="preserve"> Президента Республики Татарстан от 26.02.2002 N УП-121 "О Республиканском общественном конкурсе "Руководитель года".</w:t>
      </w:r>
    </w:p>
    <w:p w14:paraId="51FFF586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Организационно-техническое обеспечение проведения конкурса выполняет организация, которой в соответствии с Порядком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"Руководитель года" предоставлена субсидия на организацию и проведение конкурса (далее - Организация). Организация обеспечивает:</w:t>
      </w:r>
    </w:p>
    <w:p w14:paraId="7E15950E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информирование республиканских органов исполнительной власти, глав муниципальных районов и городских округов, объединений работодателей и профессиональных союзов об утверждении Конкурсной комиссией перечня номинаций и показателей деятельности, по которым будут подводиться итоги конкурса, и о необходимости представления ими предложений по участникам конкурса;</w:t>
      </w:r>
    </w:p>
    <w:p w14:paraId="448DCE07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сбор, подготовку (проверку полноты, уточнение и дополнение) и представление материалов по участникам конкурса в Конкурсную комиссию;</w:t>
      </w:r>
    </w:p>
    <w:p w14:paraId="0F25C740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разработку и изготовление наградных знаков и дипломов;</w:t>
      </w:r>
    </w:p>
    <w:p w14:paraId="37599A86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подготовку и проведение торжественной церемонии награждения лауреатов конкурса;</w:t>
      </w:r>
    </w:p>
    <w:p w14:paraId="0389C9F8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издание памятной книги по итогам конкурса;</w:t>
      </w:r>
    </w:p>
    <w:p w14:paraId="5815E6EA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создание и поддержку сайта конкурса.</w:t>
      </w:r>
    </w:p>
    <w:p w14:paraId="490774F9" w14:textId="77777777" w:rsidR="00CB2F0F" w:rsidRDefault="00CB2F0F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</w:p>
    <w:p w14:paraId="082B392B" w14:textId="0068A17A" w:rsidR="00960036" w:rsidRP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lastRenderedPageBreak/>
        <w:t>4. Финансирование конкурса</w:t>
      </w:r>
    </w:p>
    <w:p w14:paraId="240BD14C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  <w:r w:rsidRPr="00960036">
        <w:t>Финансирование организации и проведения конкурса осуществляется за счет средств бюджета Республики Татарстан.</w:t>
      </w:r>
    </w:p>
    <w:p w14:paraId="746916D0" w14:textId="77777777" w:rsidR="00960036" w:rsidRPr="00960036" w:rsidRDefault="00960036" w:rsidP="00960036">
      <w:pPr>
        <w:pStyle w:val="ConsPlusNormal"/>
        <w:spacing w:line="312" w:lineRule="auto"/>
        <w:ind w:firstLine="720"/>
        <w:jc w:val="both"/>
      </w:pPr>
    </w:p>
    <w:p w14:paraId="7E9D3154" w14:textId="77777777" w:rsidR="00960036" w:rsidRPr="00960036" w:rsidRDefault="00960036" w:rsidP="00960036">
      <w:pPr>
        <w:pStyle w:val="ConsPlusTitle"/>
        <w:spacing w:line="312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60036">
        <w:rPr>
          <w:rFonts w:ascii="Times New Roman" w:hAnsi="Times New Roman" w:cs="Times New Roman"/>
        </w:rPr>
        <w:t>5. Регламент проведения конкурса</w:t>
      </w:r>
    </w:p>
    <w:p w14:paraId="097BDA40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</w:rPr>
      </w:pPr>
      <w:r w:rsidRPr="008576D6">
        <w:rPr>
          <w:sz w:val="24"/>
          <w:szCs w:val="24"/>
        </w:rPr>
        <w:t>Министерство экономики Республики Татарстан совместно с Организацией при участии республиканских органов исполнительной власти ежегодно, до 30 апреля, разрабатывает и представляет на утверждение председателю Конкурсной комиссии перечень номинаций и показателей деятельности, отражающих наиболее актуальные направления социально-экономического развития республики.</w:t>
      </w:r>
    </w:p>
    <w:p w14:paraId="6F708C29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</w:rPr>
      </w:pPr>
      <w:r w:rsidRPr="008576D6">
        <w:rPr>
          <w:sz w:val="24"/>
          <w:szCs w:val="24"/>
        </w:rPr>
        <w:t>Председатель Конкурсной комиссии ежегодно, до 1 июня, рассматривает                       и утверждает перечень номинаций и показателей деятельности, по которым будут подводиться итоги конкурса.</w:t>
      </w:r>
    </w:p>
    <w:p w14:paraId="4BBDE29A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</w:rPr>
      </w:pPr>
      <w:r w:rsidRPr="008576D6">
        <w:rPr>
          <w:sz w:val="24"/>
          <w:szCs w:val="24"/>
        </w:rPr>
        <w:t xml:space="preserve">Организация ежегодно, до 30 июня, информирует руководителей республиканских </w:t>
      </w:r>
      <w:r w:rsidRPr="008576D6">
        <w:rPr>
          <w:sz w:val="24"/>
          <w:szCs w:val="24"/>
          <w:shd w:val="clear" w:color="auto" w:fill="FFFFFF"/>
        </w:rPr>
        <w:t>органов исполнительной власти, глав муниципальных районов и городских округов, руководителей объединений работодателей и профессиональных союзов                       об утверждении Конкурсной комиссией перечня номинаций и показателей деятельности, по которым будут подводиться итоги конкурса,  и о необходимости представления ими, на  основании анализа результатов деятельности в текущем году широкого круга предприятий и организаций, предложений по участникам конкурса.</w:t>
      </w:r>
    </w:p>
    <w:p w14:paraId="4EAB0264" w14:textId="6C4D3A38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Республиканские органы исполнительной власти, главы муниципальных районов     и городских округов, объединения работодателей и профессиональные союзы Республики Татарстан ежегодно, до 25 октября, представляют Организации не более трех предложений об участниках конкурса в каждую номинацию, а Министерство цифрового развития государственного управления, информационных технологий и связи Республики Татарстан, Министерство сельского хозяйства и продовольствия Республики Татарстан, Министерство строительства, архитектуры и жилищно-коммунального хозяйства Республики Татарстан, Министерство транспорта и дорожного хозяйства Республики Татарстан, Министерство промышленности и торговли Республики Татарстан - не более трех, но не менее одного предложения об участнике конкурса в каждую номинацию с соответствующими материалами, в том числе:</w:t>
      </w:r>
    </w:p>
    <w:p w14:paraId="11878502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справку об участнике конкурса;</w:t>
      </w:r>
    </w:p>
    <w:p w14:paraId="17064691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справку о предприятии (организации), возглавляемом участником конкурса;</w:t>
      </w:r>
    </w:p>
    <w:p w14:paraId="66CDDBED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показатели деятельности предприятия (организации), возглавляемого участником конкурса, соотносящиеся номинации, по которой выдвинут участник;</w:t>
      </w:r>
    </w:p>
    <w:p w14:paraId="027AF63B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краткое обоснование (объемом 0,5 машинописного листа) выдвижения участника на конкурс по данной номинации.</w:t>
      </w:r>
    </w:p>
    <w:p w14:paraId="4244F4D3" w14:textId="0D4B67C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Территориальный орган Федеральной службы государственной статистики  по Республике Татарстан ежегодно, до 15 ноября определяет рейтинг предприятий и организаций (по видам экономической деятельности), включая предприятия  и организации, возглавляемые участниками конкурса, и направляет его в адрес Организации.</w:t>
      </w:r>
    </w:p>
    <w:p w14:paraId="6A710FC1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lastRenderedPageBreak/>
        <w:t>Организация ежегодно, до 15 ноября, осуществляет проверку полноты представленных на конкурс материалов, их уточнение и дополнение.  По результатам проверки формируется перечень номинантов конкурса, т.е. претендентов на присвоение звания лауреата конкурса по каждой номинации.</w:t>
      </w:r>
    </w:p>
    <w:p w14:paraId="0E764C70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Организация ежегодно, до 25 ноября, осуществляет обработку, систематизацию             и анализ показателей деятельности номинантов конкурса по каждой номинации                   с учетом рейтинговой оценки, представленной Территориальным органом Федеральной службы государственной статистики по Республике Татарстан.</w:t>
      </w:r>
    </w:p>
    <w:p w14:paraId="6B5F18AF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Конкурсная комиссия ежегодно, до 5 декабря, проводит предварительное заседание по рассмотрению перечня номинантов конкурса, на котором дается экспертная оценка представленных предложений.</w:t>
      </w:r>
    </w:p>
    <w:p w14:paraId="3A42F406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Организация ежегодно, до 10 декабря, совместно с Министерством экономики Республики Татарстан формирует предложения о кандидатурах на звание лауреатов конкурса для представления председателю Конкурсной комиссии.</w:t>
      </w:r>
    </w:p>
    <w:p w14:paraId="35986D29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Конкурсная комиссия ежегодно, до 15 декабря:</w:t>
      </w:r>
    </w:p>
    <w:p w14:paraId="33A095B6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проводит заседание по рассмотрению представленных материалов по номинантам конкурса и предложений о кандидатурах на звание лауреата конкурса;</w:t>
      </w:r>
    </w:p>
    <w:p w14:paraId="329C3C76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принимает решение о лауреатах конкурса путем открытого голосования большинством голосов членов Конкурсной комиссии, присутствующих на заседании.</w:t>
      </w:r>
    </w:p>
    <w:p w14:paraId="2EC85070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Заседание Конкурсной комиссия является правомочным, если на нем присутствуют не менее двух третей ее членов.</w:t>
      </w:r>
    </w:p>
    <w:p w14:paraId="55C29CCC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При равном количестве голосов голос председателя Конкурсной комиссии является решающим.</w:t>
      </w:r>
    </w:p>
    <w:p w14:paraId="26061C39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При этом лауреатами конкурса в каждой номинации определяются, как правило, два, но не более трех руководителей предприятий и организаций различных отраслей                и сфер экономики.</w:t>
      </w:r>
    </w:p>
    <w:p w14:paraId="53756F94" w14:textId="7258058C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Ежегодно, в третьей декаде декабря, проводится торжественная церемония награждения лауреатов конкурса при участии Раиса Республики Татарстан                            и представителей органов государственной власти Республики Татарстан, территориальных органов федеральных органов исполнительной власти, муниципальных образований, объединений работодателей, профессиональных союзов, научных организаций и объединений, известных промышленников  и предпринимателей, представителей средств массовой информации.</w:t>
      </w:r>
    </w:p>
    <w:p w14:paraId="5B46556F" w14:textId="77777777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Итоги конкурса освещаются в средствах массовой информации.</w:t>
      </w:r>
    </w:p>
    <w:p w14:paraId="344866E8" w14:textId="7C5CF740" w:rsidR="008576D6" w:rsidRPr="008576D6" w:rsidRDefault="008576D6" w:rsidP="008576D6">
      <w:pPr>
        <w:spacing w:line="312" w:lineRule="auto"/>
        <w:ind w:firstLine="540"/>
        <w:jc w:val="both"/>
        <w:rPr>
          <w:sz w:val="24"/>
          <w:szCs w:val="24"/>
          <w:shd w:val="clear" w:color="auto" w:fill="FFFFFF"/>
        </w:rPr>
      </w:pPr>
      <w:r w:rsidRPr="008576D6">
        <w:rPr>
          <w:sz w:val="24"/>
          <w:szCs w:val="24"/>
          <w:shd w:val="clear" w:color="auto" w:fill="FFFFFF"/>
        </w:rPr>
        <w:t>По итогам конкурса ежегодно издается памятная книга, которая направляется в республиканские органы исполнительной власти, муниципальные образования, объединения работодателей и профессиональные союзы, в Национальную библиотеку Республики Татарстан, а также вручается каждому лауреату конкурса».</w:t>
      </w:r>
    </w:p>
    <w:p w14:paraId="58A0951E" w14:textId="77777777" w:rsidR="008576D6" w:rsidRPr="008576D6" w:rsidRDefault="008576D6" w:rsidP="008576D6">
      <w:pPr>
        <w:shd w:val="clear" w:color="auto" w:fill="FFFFFF"/>
        <w:tabs>
          <w:tab w:val="left" w:pos="1032"/>
        </w:tabs>
        <w:spacing w:line="312" w:lineRule="auto"/>
        <w:ind w:firstLine="709"/>
        <w:jc w:val="both"/>
        <w:rPr>
          <w:spacing w:val="-6"/>
          <w:sz w:val="24"/>
          <w:szCs w:val="24"/>
        </w:rPr>
      </w:pPr>
    </w:p>
    <w:p w14:paraId="28C1A77D" w14:textId="7128B937" w:rsidR="00960036" w:rsidRPr="00960036" w:rsidRDefault="00960036" w:rsidP="00960036">
      <w:pPr>
        <w:pStyle w:val="ac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 w:rsidRPr="00960036">
        <w:rPr>
          <w:color w:val="000000"/>
        </w:rPr>
        <w:t>Утверждено</w:t>
      </w:r>
      <w:r>
        <w:rPr>
          <w:color w:val="000000"/>
        </w:rPr>
        <w:t xml:space="preserve"> </w:t>
      </w:r>
      <w:r w:rsidR="001C7E50">
        <w:rPr>
          <w:color w:val="000000"/>
        </w:rPr>
        <w:t>п</w:t>
      </w:r>
      <w:r w:rsidRPr="00960036">
        <w:rPr>
          <w:color w:val="000000"/>
        </w:rPr>
        <w:t>остановлением</w:t>
      </w:r>
    </w:p>
    <w:p w14:paraId="28433157" w14:textId="77777777" w:rsidR="00960036" w:rsidRPr="00960036" w:rsidRDefault="00960036" w:rsidP="00960036">
      <w:pPr>
        <w:pStyle w:val="ac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 w:rsidRPr="00960036">
        <w:rPr>
          <w:color w:val="000000"/>
        </w:rPr>
        <w:t>Кабинета Министров Республики Татарстан</w:t>
      </w:r>
    </w:p>
    <w:p w14:paraId="7D03EBB6" w14:textId="77777777" w:rsidR="00240AB6" w:rsidRDefault="00960036" w:rsidP="00960036">
      <w:pPr>
        <w:pStyle w:val="ac"/>
        <w:spacing w:before="0" w:beforeAutospacing="0" w:after="0" w:afterAutospacing="0" w:line="312" w:lineRule="auto"/>
        <w:ind w:firstLine="720"/>
        <w:jc w:val="right"/>
        <w:rPr>
          <w:color w:val="000000"/>
        </w:rPr>
      </w:pPr>
      <w:r w:rsidRPr="00960036">
        <w:rPr>
          <w:color w:val="000000"/>
        </w:rPr>
        <w:t>от 29.03.2002 № 161</w:t>
      </w:r>
    </w:p>
    <w:p w14:paraId="252ED324" w14:textId="0890AF35" w:rsidR="00CB2F0F" w:rsidRDefault="00960036" w:rsidP="00CB2F0F">
      <w:pPr>
        <w:pStyle w:val="ac"/>
        <w:spacing w:before="0" w:beforeAutospacing="0" w:after="0" w:afterAutospacing="0" w:line="312" w:lineRule="auto"/>
        <w:ind w:firstLine="720"/>
        <w:jc w:val="right"/>
        <w:rPr>
          <w:color w:val="392C69"/>
        </w:rPr>
      </w:pPr>
      <w:r w:rsidRPr="00960036">
        <w:rPr>
          <w:color w:val="000000"/>
        </w:rPr>
        <w:t xml:space="preserve"> </w:t>
      </w:r>
      <w:r w:rsidRPr="00960036">
        <w:rPr>
          <w:color w:val="392C69"/>
        </w:rPr>
        <w:t xml:space="preserve">(в редакции </w:t>
      </w:r>
      <w:r w:rsidR="001C7E50">
        <w:rPr>
          <w:color w:val="392C69"/>
        </w:rPr>
        <w:t>п</w:t>
      </w:r>
      <w:r w:rsidRPr="00960036">
        <w:rPr>
          <w:color w:val="392C69"/>
        </w:rPr>
        <w:t xml:space="preserve">остановлений Кабинета Министров Республики Татарстан </w:t>
      </w:r>
    </w:p>
    <w:p w14:paraId="1B9D97F1" w14:textId="69816C91" w:rsidR="00960036" w:rsidRPr="00960036" w:rsidRDefault="00960036" w:rsidP="00CB2F0F">
      <w:pPr>
        <w:pStyle w:val="ac"/>
        <w:spacing w:before="0" w:beforeAutospacing="0" w:after="0" w:afterAutospacing="0" w:line="312" w:lineRule="auto"/>
        <w:ind w:firstLine="720"/>
        <w:jc w:val="right"/>
        <w:rPr>
          <w:color w:val="392C69"/>
        </w:rPr>
      </w:pPr>
      <w:r w:rsidRPr="00960036">
        <w:rPr>
          <w:color w:val="392C69"/>
        </w:rPr>
        <w:lastRenderedPageBreak/>
        <w:t>от</w:t>
      </w:r>
      <w:r w:rsidR="00CB2F0F">
        <w:rPr>
          <w:color w:val="392C69"/>
        </w:rPr>
        <w:t xml:space="preserve"> </w:t>
      </w:r>
      <w:r w:rsidRPr="00960036">
        <w:rPr>
          <w:color w:val="392C69"/>
        </w:rPr>
        <w:t xml:space="preserve">25.07.2011 </w:t>
      </w:r>
      <w:hyperlink r:id="rId7" w:history="1">
        <w:r w:rsidRPr="00960036">
          <w:rPr>
            <w:rStyle w:val="a7"/>
          </w:rPr>
          <w:t>N 579</w:t>
        </w:r>
      </w:hyperlink>
      <w:r w:rsidRPr="00960036">
        <w:rPr>
          <w:color w:val="392C69"/>
        </w:rPr>
        <w:t>,</w:t>
      </w:r>
      <w:r w:rsidR="00CB2F0F">
        <w:rPr>
          <w:color w:val="392C69"/>
        </w:rPr>
        <w:t xml:space="preserve"> </w:t>
      </w:r>
      <w:r w:rsidRPr="00960036">
        <w:rPr>
          <w:color w:val="392C69"/>
        </w:rPr>
        <w:t xml:space="preserve">от 21.07.2014 </w:t>
      </w:r>
      <w:hyperlink r:id="rId8" w:history="1">
        <w:r w:rsidRPr="00960036">
          <w:rPr>
            <w:rStyle w:val="a7"/>
          </w:rPr>
          <w:t>N 520</w:t>
        </w:r>
      </w:hyperlink>
      <w:r w:rsidRPr="00960036">
        <w:rPr>
          <w:color w:val="392C69"/>
        </w:rPr>
        <w:t xml:space="preserve">, от 01.06.2015 </w:t>
      </w:r>
      <w:hyperlink r:id="rId9" w:history="1">
        <w:r w:rsidRPr="00960036">
          <w:rPr>
            <w:rStyle w:val="a7"/>
          </w:rPr>
          <w:t>N 393</w:t>
        </w:r>
      </w:hyperlink>
      <w:r w:rsidRPr="00960036">
        <w:rPr>
          <w:color w:val="392C69"/>
        </w:rPr>
        <w:t xml:space="preserve">, от 14.06.2018 </w:t>
      </w:r>
      <w:hyperlink r:id="rId10" w:history="1">
        <w:r w:rsidRPr="00960036">
          <w:rPr>
            <w:rStyle w:val="a7"/>
          </w:rPr>
          <w:t>N 480</w:t>
        </w:r>
      </w:hyperlink>
      <w:r w:rsidRPr="00960036">
        <w:rPr>
          <w:color w:val="392C69"/>
        </w:rPr>
        <w:t>,</w:t>
      </w:r>
    </w:p>
    <w:p w14:paraId="3820A06A" w14:textId="29AA59B8" w:rsidR="00A17370" w:rsidRDefault="00960036" w:rsidP="00CB2F0F">
      <w:pPr>
        <w:pStyle w:val="ConsPlusNormal"/>
        <w:spacing w:line="312" w:lineRule="auto"/>
        <w:ind w:firstLine="720"/>
        <w:jc w:val="right"/>
        <w:rPr>
          <w:color w:val="392C69"/>
        </w:rPr>
      </w:pPr>
      <w:r w:rsidRPr="00960036">
        <w:rPr>
          <w:color w:val="392C69"/>
        </w:rPr>
        <w:t xml:space="preserve">от 29.09.2018 </w:t>
      </w:r>
      <w:hyperlink r:id="rId11" w:history="1">
        <w:r w:rsidRPr="00960036">
          <w:rPr>
            <w:rStyle w:val="a7"/>
          </w:rPr>
          <w:t>N 887</w:t>
        </w:r>
      </w:hyperlink>
      <w:r w:rsidRPr="00960036">
        <w:rPr>
          <w:color w:val="392C69"/>
        </w:rPr>
        <w:t xml:space="preserve">, от 30.10.2020 </w:t>
      </w:r>
      <w:hyperlink r:id="rId12" w:history="1">
        <w:r w:rsidRPr="00960036">
          <w:rPr>
            <w:rStyle w:val="a7"/>
          </w:rPr>
          <w:t>N 973</w:t>
        </w:r>
      </w:hyperlink>
      <w:r w:rsidRPr="00960036">
        <w:rPr>
          <w:color w:val="392C69"/>
        </w:rPr>
        <w:t xml:space="preserve">, от 30.03.2023 </w:t>
      </w:r>
      <w:hyperlink r:id="rId13" w:history="1">
        <w:r w:rsidRPr="00960036">
          <w:rPr>
            <w:rStyle w:val="a7"/>
          </w:rPr>
          <w:t>N 378</w:t>
        </w:r>
      </w:hyperlink>
      <w:r w:rsidRPr="00960036">
        <w:rPr>
          <w:color w:val="392C69"/>
        </w:rPr>
        <w:t>,</w:t>
      </w:r>
      <w:r w:rsidR="00CB2F0F">
        <w:rPr>
          <w:color w:val="392C69"/>
        </w:rPr>
        <w:t xml:space="preserve"> </w:t>
      </w:r>
      <w:r w:rsidRPr="00960036">
        <w:rPr>
          <w:color w:val="392C69"/>
        </w:rPr>
        <w:t xml:space="preserve">от 08.07.2023 </w:t>
      </w:r>
      <w:hyperlink r:id="rId14" w:history="1">
        <w:r w:rsidRPr="00960036">
          <w:rPr>
            <w:rStyle w:val="a7"/>
          </w:rPr>
          <w:t>N 801</w:t>
        </w:r>
      </w:hyperlink>
      <w:r w:rsidR="00F3336A">
        <w:rPr>
          <w:rStyle w:val="a7"/>
        </w:rPr>
        <w:t>, от 21.09.2024 г. № 821</w:t>
      </w:r>
      <w:r w:rsidRPr="00960036">
        <w:rPr>
          <w:color w:val="392C69"/>
        </w:rPr>
        <w:t>)</w:t>
      </w:r>
    </w:p>
    <w:p w14:paraId="28DE89FC" w14:textId="77777777" w:rsidR="00A17370" w:rsidRPr="00960036" w:rsidRDefault="00A17370" w:rsidP="00CB2F0F">
      <w:pPr>
        <w:pStyle w:val="ConsPlusNormal"/>
        <w:spacing w:line="312" w:lineRule="auto"/>
        <w:ind w:firstLine="720"/>
        <w:jc w:val="right"/>
      </w:pPr>
    </w:p>
    <w:sectPr w:rsidR="00A17370" w:rsidRPr="00960036" w:rsidSect="00F4140F">
      <w:pgSz w:w="11906" w:h="16838"/>
      <w:pgMar w:top="1134" w:right="1134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7BCC" w14:textId="77777777" w:rsidR="00D42E36" w:rsidRDefault="00D42E36">
      <w:r>
        <w:separator/>
      </w:r>
    </w:p>
  </w:endnote>
  <w:endnote w:type="continuationSeparator" w:id="0">
    <w:p w14:paraId="69E419A9" w14:textId="77777777" w:rsidR="00D42E36" w:rsidRDefault="00D4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0D07" w14:textId="77777777" w:rsidR="00D42E36" w:rsidRDefault="00D42E36">
      <w:r>
        <w:separator/>
      </w:r>
    </w:p>
  </w:footnote>
  <w:footnote w:type="continuationSeparator" w:id="0">
    <w:p w14:paraId="3FCA5E07" w14:textId="77777777" w:rsidR="00D42E36" w:rsidRDefault="00D4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C2"/>
    <w:rsid w:val="00010AC5"/>
    <w:rsid w:val="00023894"/>
    <w:rsid w:val="000663C0"/>
    <w:rsid w:val="00067681"/>
    <w:rsid w:val="000731F3"/>
    <w:rsid w:val="0008332F"/>
    <w:rsid w:val="00091D49"/>
    <w:rsid w:val="000A2842"/>
    <w:rsid w:val="000E0D50"/>
    <w:rsid w:val="0010022F"/>
    <w:rsid w:val="00104B0C"/>
    <w:rsid w:val="0011413F"/>
    <w:rsid w:val="00127A5F"/>
    <w:rsid w:val="0019112A"/>
    <w:rsid w:val="001A424C"/>
    <w:rsid w:val="001A6EC2"/>
    <w:rsid w:val="001C7E50"/>
    <w:rsid w:val="001D6F32"/>
    <w:rsid w:val="001E3734"/>
    <w:rsid w:val="001F732E"/>
    <w:rsid w:val="00200CE9"/>
    <w:rsid w:val="002059AF"/>
    <w:rsid w:val="00240AB6"/>
    <w:rsid w:val="00256007"/>
    <w:rsid w:val="00260567"/>
    <w:rsid w:val="002D74C1"/>
    <w:rsid w:val="002F0EFB"/>
    <w:rsid w:val="002F5915"/>
    <w:rsid w:val="00303382"/>
    <w:rsid w:val="00320B76"/>
    <w:rsid w:val="0032206C"/>
    <w:rsid w:val="00323505"/>
    <w:rsid w:val="00333169"/>
    <w:rsid w:val="00350415"/>
    <w:rsid w:val="00367C3A"/>
    <w:rsid w:val="00375990"/>
    <w:rsid w:val="00384C8C"/>
    <w:rsid w:val="003B1CB0"/>
    <w:rsid w:val="003B7999"/>
    <w:rsid w:val="003E7193"/>
    <w:rsid w:val="0042776F"/>
    <w:rsid w:val="00454389"/>
    <w:rsid w:val="00472671"/>
    <w:rsid w:val="00497F2E"/>
    <w:rsid w:val="004B406A"/>
    <w:rsid w:val="00522178"/>
    <w:rsid w:val="00531B5D"/>
    <w:rsid w:val="005622AB"/>
    <w:rsid w:val="00570EB5"/>
    <w:rsid w:val="005714E1"/>
    <w:rsid w:val="00591103"/>
    <w:rsid w:val="005945D5"/>
    <w:rsid w:val="005A326B"/>
    <w:rsid w:val="005A7AC5"/>
    <w:rsid w:val="005B394F"/>
    <w:rsid w:val="005D3CF8"/>
    <w:rsid w:val="005F3AFE"/>
    <w:rsid w:val="00617F45"/>
    <w:rsid w:val="00632ACA"/>
    <w:rsid w:val="00676B0E"/>
    <w:rsid w:val="00687D44"/>
    <w:rsid w:val="00695240"/>
    <w:rsid w:val="006A34B7"/>
    <w:rsid w:val="006A6D47"/>
    <w:rsid w:val="006D5291"/>
    <w:rsid w:val="006E2C3F"/>
    <w:rsid w:val="007100A3"/>
    <w:rsid w:val="007169EA"/>
    <w:rsid w:val="0072280B"/>
    <w:rsid w:val="00725A96"/>
    <w:rsid w:val="00744145"/>
    <w:rsid w:val="007665CC"/>
    <w:rsid w:val="0076792B"/>
    <w:rsid w:val="00792D3B"/>
    <w:rsid w:val="00794BCE"/>
    <w:rsid w:val="0083135C"/>
    <w:rsid w:val="00836084"/>
    <w:rsid w:val="008372BE"/>
    <w:rsid w:val="008423DB"/>
    <w:rsid w:val="00855D87"/>
    <w:rsid w:val="008576D6"/>
    <w:rsid w:val="00874744"/>
    <w:rsid w:val="0088202E"/>
    <w:rsid w:val="008944C3"/>
    <w:rsid w:val="008B6739"/>
    <w:rsid w:val="00910D92"/>
    <w:rsid w:val="00917261"/>
    <w:rsid w:val="0095402D"/>
    <w:rsid w:val="0095416C"/>
    <w:rsid w:val="00960036"/>
    <w:rsid w:val="00990197"/>
    <w:rsid w:val="009A5B16"/>
    <w:rsid w:val="009C19E1"/>
    <w:rsid w:val="00A00303"/>
    <w:rsid w:val="00A17370"/>
    <w:rsid w:val="00A207EB"/>
    <w:rsid w:val="00A23945"/>
    <w:rsid w:val="00A27422"/>
    <w:rsid w:val="00A40885"/>
    <w:rsid w:val="00A54256"/>
    <w:rsid w:val="00A96512"/>
    <w:rsid w:val="00AA01B0"/>
    <w:rsid w:val="00AB2D0B"/>
    <w:rsid w:val="00AD33C3"/>
    <w:rsid w:val="00B17541"/>
    <w:rsid w:val="00B249B3"/>
    <w:rsid w:val="00B42B1F"/>
    <w:rsid w:val="00BF6A3E"/>
    <w:rsid w:val="00C002E1"/>
    <w:rsid w:val="00C10266"/>
    <w:rsid w:val="00C2606E"/>
    <w:rsid w:val="00C47FA1"/>
    <w:rsid w:val="00C65278"/>
    <w:rsid w:val="00C71CB6"/>
    <w:rsid w:val="00C85C5A"/>
    <w:rsid w:val="00CA4180"/>
    <w:rsid w:val="00CB1C7A"/>
    <w:rsid w:val="00CB2F0F"/>
    <w:rsid w:val="00CD286D"/>
    <w:rsid w:val="00CD590B"/>
    <w:rsid w:val="00D20174"/>
    <w:rsid w:val="00D20EBB"/>
    <w:rsid w:val="00D42A09"/>
    <w:rsid w:val="00D42E36"/>
    <w:rsid w:val="00D5474F"/>
    <w:rsid w:val="00D56ACA"/>
    <w:rsid w:val="00D61DBC"/>
    <w:rsid w:val="00D67ECA"/>
    <w:rsid w:val="00DA5693"/>
    <w:rsid w:val="00E03389"/>
    <w:rsid w:val="00E348B2"/>
    <w:rsid w:val="00E62E45"/>
    <w:rsid w:val="00E74070"/>
    <w:rsid w:val="00E7683E"/>
    <w:rsid w:val="00EE7EE5"/>
    <w:rsid w:val="00EF27E0"/>
    <w:rsid w:val="00EF735B"/>
    <w:rsid w:val="00F3336A"/>
    <w:rsid w:val="00F37C80"/>
    <w:rsid w:val="00F4140F"/>
    <w:rsid w:val="00F821B0"/>
    <w:rsid w:val="00F914F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2BDE6"/>
  <w15:docId w15:val="{DDB12AA6-F00B-435D-8DA7-50DBC4D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A3E"/>
  </w:style>
  <w:style w:type="paragraph" w:styleId="1">
    <w:name w:val="heading 1"/>
    <w:basedOn w:val="a"/>
    <w:next w:val="a"/>
    <w:qFormat/>
    <w:rsid w:val="00BF6A3E"/>
    <w:pPr>
      <w:keepNext/>
      <w:outlineLvl w:val="0"/>
    </w:pPr>
    <w:rPr>
      <w:rFonts w:ascii="Courier" w:hAnsi="Courier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6A3E"/>
    <w:pPr>
      <w:jc w:val="center"/>
    </w:pPr>
    <w:rPr>
      <w:rFonts w:ascii="Courier" w:hAnsi="Courier"/>
      <w:sz w:val="24"/>
    </w:rPr>
  </w:style>
  <w:style w:type="paragraph" w:styleId="a4">
    <w:name w:val="Body Text"/>
    <w:basedOn w:val="a"/>
    <w:rsid w:val="00BF6A3E"/>
    <w:rPr>
      <w:rFonts w:ascii="Courier" w:hAnsi="Courier"/>
      <w:sz w:val="32"/>
      <w:lang w:val="en-US"/>
    </w:rPr>
  </w:style>
  <w:style w:type="paragraph" w:styleId="a5">
    <w:name w:val="header"/>
    <w:basedOn w:val="a"/>
    <w:rsid w:val="00BF6A3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F6A3E"/>
    <w:pPr>
      <w:tabs>
        <w:tab w:val="center" w:pos="4153"/>
        <w:tab w:val="right" w:pos="8306"/>
      </w:tabs>
    </w:pPr>
  </w:style>
  <w:style w:type="character" w:styleId="a7">
    <w:name w:val="Hyperlink"/>
    <w:rsid w:val="006D5291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531B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531B5D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EF27E0"/>
    <w:rPr>
      <w:color w:val="808080"/>
      <w:shd w:val="clear" w:color="auto" w:fill="E6E6E6"/>
    </w:rPr>
  </w:style>
  <w:style w:type="paragraph" w:styleId="aa">
    <w:name w:val="Plain Text"/>
    <w:basedOn w:val="a"/>
    <w:link w:val="ab"/>
    <w:rsid w:val="000663C0"/>
    <w:pPr>
      <w:spacing w:line="288" w:lineRule="auto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ab">
    <w:name w:val="Текст Знак"/>
    <w:basedOn w:val="a0"/>
    <w:link w:val="aa"/>
    <w:rsid w:val="000663C0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6003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600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9600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87519&amp;date=15.03.2024&amp;dst=100005&amp;field=134" TargetMode="External"/><Relationship Id="rId13" Type="http://schemas.openxmlformats.org/officeDocument/2006/relationships/hyperlink" Target="https://login.consultant.ru/link/?req=doc&amp;base=RLAW363&amp;n=173357&amp;date=15.03.2024&amp;dst=10000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62825&amp;date=15.03.2024&amp;dst=100006&amp;field=134" TargetMode="External"/><Relationship Id="rId12" Type="http://schemas.openxmlformats.org/officeDocument/2006/relationships/hyperlink" Target="https://login.consultant.ru/link/?req=doc&amp;base=RLAW363&amp;n=157168&amp;date=15.03.2024&amp;dst=100006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32169&amp;date=15.03.2024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3&amp;n=128422&amp;date=15.03.2024&amp;dst=10000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95838&amp;date=15.03.2024&amp;dst=100005&amp;field=134" TargetMode="External"/><Relationship Id="rId14" Type="http://schemas.openxmlformats.org/officeDocument/2006/relationships/hyperlink" Target="https://login.consultant.ru/link/?req=doc&amp;base=RLAW363&amp;n=175818&amp;date=15.03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EBCE-2F46-4401-AC64-8499638A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Асс. пром. предприятий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/>
  <dc:creator>Оператор</dc:creator>
  <cp:keywords/>
  <cp:lastModifiedBy>APP RT</cp:lastModifiedBy>
  <cp:revision>4</cp:revision>
  <cp:lastPrinted>2024-03-21T08:11:00Z</cp:lastPrinted>
  <dcterms:created xsi:type="dcterms:W3CDTF">2024-10-10T06:13:00Z</dcterms:created>
  <dcterms:modified xsi:type="dcterms:W3CDTF">2024-10-10T06:33:00Z</dcterms:modified>
</cp:coreProperties>
</file>